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913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 w:line="259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59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 w:line="259" w:lineRule="auto"/>
        <w:rPr>
          <w:sz w:val="12"/>
          <w:szCs w:val="12"/>
        </w:rPr>
      </w:pP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Агзямова </w:t>
      </w:r>
      <w:r>
        <w:rPr>
          <w:rFonts w:ascii="Times New Roman" w:eastAsia="Times New Roman" w:hAnsi="Times New Roman" w:cs="Times New Roman"/>
          <w:sz w:val="28"/>
          <w:szCs w:val="28"/>
        </w:rPr>
        <w:t>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мкр-н,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Бочарникова Дмитрия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оператором добычи нефти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трех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23</w:t>
      </w:r>
      <w:r>
        <w:rPr>
          <w:rFonts w:ascii="Times New Roman" w:eastAsia="Times New Roman" w:hAnsi="Times New Roman" w:cs="Times New Roman"/>
          <w:sz w:val="28"/>
          <w:szCs w:val="28"/>
        </w:rPr>
        <w:t>:24,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напротив строения 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Бочарников Д.И.,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Киа Спектра,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дорожно-транспортное происшествие, наезд на препятствие (дорожное сооружение), дорожный знак 6.10.1 указывающий направление к объектам «проезд к СОШ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7», собственником данного направляющего дорожного знака является Муниципальное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г.Нефтеюганска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. После чего водитель Бочарник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Д.И. </w:t>
      </w:r>
      <w:r>
        <w:rPr>
          <w:rFonts w:ascii="Times New Roman" w:eastAsia="Times New Roman" w:hAnsi="Times New Roman" w:cs="Times New Roman"/>
          <w:sz w:val="28"/>
          <w:szCs w:val="28"/>
        </w:rPr>
        <w:t>оставил место ДТП, участником которого он являлся, при отсутствии признаков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административного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в совершенном правонарушении признал полностью,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инвалидом 1 и 2 группы не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имеет на иждивении трех несовершеннолетних детей, супруга находится в положении, ухаживает за бабушкой. Просит назначить ему минимальное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21.07.2025 в 23:24,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Сургутская, напротив строения 11, водитель Бочарников Д.И., управляя транспортным средством Киа Спектра, </w:t>
      </w:r>
      <w:r>
        <w:rPr>
          <w:rStyle w:val="cat-CarNumbergrp-26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дорожно-транспортное происшествие, наезд на препятствие (дорожное сооружение), дорожный знак 6.10.1 указывающий направление к объектам «проезд к СОШ №7», собственником данного направляющего дорожного знака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Муниципальное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г.Нефтеюганска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чего водитель Бочарников Д.И. оставил место ДТП, участником которого он являлся, при отсутствии признаков уголовно наказуемого деяния, чем нарушил п. 2.5 Правил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об административном правонарушении в отношении Бочарникова Д.И. по ст. 12.33 КоАП РФ;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об административном правонарушении в отношении Бочарникова Д.И.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знаков, согласно которой на данном участке дороги расположен </w:t>
      </w:r>
      <w:r>
        <w:rPr>
          <w:rFonts w:ascii="Times New Roman" w:eastAsia="Times New Roman" w:hAnsi="Times New Roman" w:cs="Times New Roman"/>
          <w:sz w:val="28"/>
          <w:szCs w:val="28"/>
        </w:rPr>
        <w:t>дорожный знак 6.10.1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указывающий направление к объектам «проезд к СОШ №7»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схемой места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22.07.2025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подтверждающей ме</w:t>
      </w:r>
      <w:r>
        <w:rPr>
          <w:rFonts w:ascii="Times New Roman" w:eastAsia="Times New Roman" w:hAnsi="Times New Roman" w:cs="Times New Roman"/>
          <w:sz w:val="28"/>
          <w:szCs w:val="28"/>
        </w:rPr>
        <w:t>сто ДТП, изложенное в 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21.07.2025 в 23</w:t>
      </w:r>
      <w:r>
        <w:rPr>
          <w:rFonts w:ascii="Times New Roman" w:eastAsia="Times New Roman" w:hAnsi="Times New Roman" w:cs="Times New Roman"/>
          <w:sz w:val="28"/>
          <w:szCs w:val="28"/>
        </w:rPr>
        <w:t>:24,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принадлежащим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Киа Спектра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4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договора купли-продажи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составленного в простой письменной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риближаясь к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>ул.Нефтяников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строению 11</w:t>
      </w:r>
      <w:r>
        <w:rPr>
          <w:rFonts w:ascii="Times New Roman" w:eastAsia="Times New Roman" w:hAnsi="Times New Roman" w:cs="Times New Roman"/>
          <w:sz w:val="28"/>
          <w:szCs w:val="28"/>
        </w:rPr>
        <w:t>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справился с управлением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у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взорвалось колесо, тем самым осуществил столкновение с дорожным знаком «проезд к СОШ №7»</w:t>
      </w:r>
      <w:r>
        <w:rPr>
          <w:rFonts w:ascii="Times New Roman" w:eastAsia="Times New Roman" w:hAnsi="Times New Roman" w:cs="Times New Roman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sz w:val="28"/>
          <w:szCs w:val="28"/>
        </w:rPr>
        <w:t>ранспортное средство получило серьезные повреждения и не имелось возможности продолжить движение,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прибегнул к помощи посторонних лиц</w:t>
      </w:r>
      <w:r>
        <w:rPr>
          <w:rFonts w:ascii="Times New Roman" w:eastAsia="Times New Roman" w:hAnsi="Times New Roman" w:cs="Times New Roman"/>
          <w:sz w:val="28"/>
          <w:szCs w:val="28"/>
        </w:rPr>
        <w:t>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методом буксира убрали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транспортное средство с дороги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</w:rPr>
        <w:t>осчитал что столкновение с дорожным знаком не является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sz w:val="28"/>
          <w:szCs w:val="28"/>
        </w:rPr>
        <w:t>был в пешем порядке домой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</w:rPr>
        <w:t>озже узнал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транспортное средство было задержано сотрудниками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</w:rPr>
        <w:t>явился в здание Госавтоинспекции для дальнейшего разбирательства. Дополнительно сообщ</w:t>
      </w:r>
      <w:r>
        <w:rPr>
          <w:rFonts w:ascii="Times New Roman" w:eastAsia="Times New Roman" w:hAnsi="Times New Roman" w:cs="Times New Roman"/>
          <w:sz w:val="28"/>
          <w:szCs w:val="28"/>
        </w:rPr>
        <w:t>ил, что во</w:t>
      </w:r>
      <w:r>
        <w:rPr>
          <w:rFonts w:ascii="Times New Roman" w:eastAsia="Times New Roman" w:hAnsi="Times New Roman" w:cs="Times New Roman"/>
          <w:sz w:val="28"/>
          <w:szCs w:val="28"/>
        </w:rPr>
        <w:t>дительского удостоверения не получал, не обучался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осмотра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Киа Спектра, </w:t>
      </w:r>
      <w:r>
        <w:rPr>
          <w:rStyle w:val="cat-CarNumbergrp-26rplc-4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при котором обнаружены механические повреждения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передний бампер,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левое колесо, </w:t>
      </w:r>
      <w:r>
        <w:rPr>
          <w:rFonts w:ascii="Times New Roman" w:eastAsia="Times New Roman" w:hAnsi="Times New Roman" w:cs="Times New Roman"/>
          <w:sz w:val="28"/>
          <w:szCs w:val="28"/>
        </w:rPr>
        <w:t>вмятины на передней левой и задней левой двери</w:t>
      </w:r>
      <w:r>
        <w:rPr>
          <w:rFonts w:ascii="Times New Roman" w:eastAsia="Times New Roman" w:hAnsi="Times New Roman" w:cs="Times New Roman"/>
          <w:sz w:val="28"/>
          <w:szCs w:val="28"/>
        </w:rPr>
        <w:t>, левый порог, отсутствует задний бампер, сработка подушки безопасности на рулевом колесе и в панели пассажира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фотофиксацией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осмотром места происшествия от 22.07.2025, </w:t>
      </w:r>
      <w:r>
        <w:rPr>
          <w:rFonts w:ascii="Times New Roman" w:eastAsia="Times New Roman" w:hAnsi="Times New Roman" w:cs="Times New Roman"/>
          <w:sz w:val="28"/>
          <w:szCs w:val="28"/>
        </w:rPr>
        <w:t>в ходе которого установлено, что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орожный знак 6.10.1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проезд к СОШ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7»: поврежден, опрокинут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фотофиксацией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, с указанием места ДТП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реестра департамента муниципального имущества администрации г. Нефтеюганска, выпиской из Единого государственного реестра недвижимости об объекте недвижимости, согласно которым объект недвижимости </w:t>
      </w:r>
      <w:r>
        <w:rPr>
          <w:rFonts w:ascii="Times New Roman" w:eastAsia="Times New Roman" w:hAnsi="Times New Roman" w:cs="Times New Roman"/>
          <w:sz w:val="28"/>
          <w:szCs w:val="28"/>
        </w:rPr>
        <w:t>дорожны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знак «проезд к СОШ №7»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-сводным сметным расчетом стоимости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локальным сметным расчетом дорожных знаков;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Киа Спектра, </w:t>
      </w:r>
      <w:r>
        <w:rPr>
          <w:rStyle w:val="cat-CarNumbergrp-26rplc-5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ИАЗ ОГИБДД ОМВД по гор. Нефтеюганску;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старшего инспектора ОИАЗ и ПБДД отдела Госавтоинспекции ОМВД России по г. Нефтеюганску, из которой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информационной базе данных ФИС ГИБДД-М Бочарников Д.И.,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 на территории Российской Федерации не получал.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2.5</w:t>
      </w:r>
      <w:r>
        <w:rPr>
          <w:rFonts w:ascii="Times New Roman" w:eastAsia="Times New Roman" w:hAnsi="Times New Roman" w:cs="Times New Roman"/>
          <w:sz w:val="28"/>
          <w:szCs w:val="28"/>
        </w:rPr>
        <w:t>, 2.6.1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anchor="/document/1305770/entry/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Правил, не перемещать предметы, имеющие отношение к происшествию. При нахождении на проезжей части водитель обязан соблюдать меры предосторожности (п.2.5).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 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 (п.2.6.1).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Представленными доказательствами,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дислокацией дорожных знаков, схемой места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осмотра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осмотром места 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фотофиксацией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совершение 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Бочарниковым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неправомерного деяния в виде оставления места ДТП, участником которого он являлся, в нарушение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sz w:val="28"/>
          <w:szCs w:val="28"/>
        </w:rPr>
        <w:t>, 2.6.1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, в полицию о случившемся для получения указаний сотрудника полиции о месте оформления ДТП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оставил место ДТП,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наезда на </w:t>
      </w:r>
      <w:r>
        <w:rPr>
          <w:rFonts w:ascii="Times New Roman" w:eastAsia="Times New Roman" w:hAnsi="Times New Roman" w:cs="Times New Roman"/>
          <w:sz w:val="28"/>
          <w:szCs w:val="28"/>
        </w:rPr>
        <w:t>дорожный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 12.27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как 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водителем в нарушение Правил дорожного движения места дорожно-транспортного происшествия,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участником которого он являлся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признаков </w:t>
      </w:r>
      <w:hyperlink r:id="rId4" w:anchor="/document/10108000/entry/26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Бочарникова Д.И.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характеризующий его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Бочарникова Д.И.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смягчающие и отягчающие вину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ства, мировой судья 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ар</w:t>
      </w:r>
      <w:r>
        <w:rPr>
          <w:rFonts w:ascii="Times New Roman" w:eastAsia="Times New Roman" w:hAnsi="Times New Roman" w:cs="Times New Roman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Бочарников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 ст.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708"/>
        <w:jc w:val="both"/>
        <w:rPr>
          <w:sz w:val="12"/>
          <w:szCs w:val="12"/>
        </w:rPr>
      </w:pPr>
    </w:p>
    <w:p>
      <w:pPr>
        <w:widowControl w:val="0"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widowControl w:val="0"/>
        <w:spacing w:before="0" w:after="0"/>
        <w:ind w:firstLine="708"/>
        <w:jc w:val="both"/>
        <w:rPr>
          <w:sz w:val="12"/>
          <w:szCs w:val="12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Бочарникова Дмитрия Игоревича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tabs>
          <w:tab w:val="left" w:pos="3540"/>
        </w:tabs>
        <w:spacing w:before="0" w:after="0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widowControl w:val="0"/>
        <w:spacing w:before="0" w:after="0"/>
        <w:ind w:left="426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CarNumbergrp-26rplc-34">
    <w:name w:val="cat-CarNumber grp-26 rplc-34"/>
    <w:basedOn w:val="DefaultParagraphFont"/>
  </w:style>
  <w:style w:type="character" w:customStyle="1" w:styleId="cat-CarNumbergrp-26rplc-45">
    <w:name w:val="cat-CarNumber grp-26 rplc-45"/>
    <w:basedOn w:val="DefaultParagraphFont"/>
  </w:style>
  <w:style w:type="character" w:customStyle="1" w:styleId="cat-CarNumbergrp-26rplc-49">
    <w:name w:val="cat-CarNumber grp-26 rplc-49"/>
    <w:basedOn w:val="DefaultParagraphFont"/>
  </w:style>
  <w:style w:type="character" w:customStyle="1" w:styleId="cat-CarNumbergrp-26rplc-55">
    <w:name w:val="cat-CarNumber grp-26 rplc-55"/>
    <w:basedOn w:val="DefaultParagraphFont"/>
  </w:style>
  <w:style w:type="character" w:customStyle="1" w:styleId="cat-UserDefinedgrp-32rplc-72">
    <w:name w:val="cat-UserDefined grp-32 rplc-72"/>
    <w:basedOn w:val="DefaultParagraphFont"/>
  </w:style>
  <w:style w:type="character" w:customStyle="1" w:styleId="cat-UserDefinedgrp-33rplc-75">
    <w:name w:val="cat-UserDefined grp-33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